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3C7" w:rsidRDefault="00706871">
      <w:pPr>
        <w:spacing w:before="240" w:after="24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Table</w:t>
      </w:r>
      <w:proofErr w:type="spellEnd"/>
      <w:r>
        <w:rPr>
          <w:rFonts w:ascii="Times New Roman" w:eastAsia="Times New Roman" w:hAnsi="Times New Roman" w:cs="Times New Roman"/>
          <w:sz w:val="24"/>
          <w:szCs w:val="24"/>
        </w:rPr>
        <w:t xml:space="preserve"> 1 Data Demografi</w:t>
      </w:r>
    </w:p>
    <w:tbl>
      <w:tblPr>
        <w:tblStyle w:val="a2"/>
        <w:tblW w:w="883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820"/>
        <w:gridCol w:w="3120"/>
        <w:gridCol w:w="2895"/>
      </w:tblGrid>
      <w:tr w:rsidR="005523C7">
        <w:trPr>
          <w:trHeight w:val="570"/>
        </w:trPr>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w:t>
            </w:r>
          </w:p>
        </w:tc>
        <w:tc>
          <w:tcPr>
            <w:tcW w:w="3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Usia</w:t>
            </w:r>
          </w:p>
        </w:tc>
        <w:tc>
          <w:tcPr>
            <w:tcW w:w="2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Jenis Kelamin</w:t>
            </w:r>
          </w:p>
        </w:tc>
      </w:tr>
      <w:tr w:rsidR="005523C7">
        <w:trPr>
          <w:trHeight w:val="157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20"/>
              <w:rPr>
                <w:rFonts w:ascii="Times New Roman" w:eastAsia="Times New Roman" w:hAnsi="Times New Roman" w:cs="Times New Roman"/>
                <w:sz w:val="24"/>
                <w:szCs w:val="24"/>
              </w:rPr>
            </w:pPr>
            <w:r>
              <w:rPr>
                <w:rFonts w:ascii="Times New Roman" w:eastAsia="Times New Roman" w:hAnsi="Times New Roman" w:cs="Times New Roman"/>
                <w:sz w:val="24"/>
                <w:szCs w:val="24"/>
              </w:rPr>
              <w:t>(Dewhirst et al., 2017)</w:t>
            </w:r>
          </w:p>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Rata-rata (SD)</w:t>
            </w:r>
          </w:p>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(21)</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Pria-n %</w:t>
            </w:r>
          </w:p>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(53)</w:t>
            </w:r>
          </w:p>
        </w:tc>
      </w:tr>
      <w:tr w:rsidR="005523C7">
        <w:trPr>
          <w:trHeight w:val="148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20"/>
              <w:rPr>
                <w:rFonts w:ascii="Times New Roman" w:eastAsia="Times New Roman" w:hAnsi="Times New Roman" w:cs="Times New Roman"/>
                <w:sz w:val="24"/>
                <w:szCs w:val="24"/>
              </w:rPr>
            </w:pPr>
            <w:r>
              <w:rPr>
                <w:rFonts w:ascii="Times New Roman" w:eastAsia="Times New Roman" w:hAnsi="Times New Roman" w:cs="Times New Roman"/>
                <w:sz w:val="24"/>
                <w:szCs w:val="24"/>
              </w:rPr>
              <w:t>(Cabilan &amp; Boyde, 2017)</w:t>
            </w:r>
          </w:p>
          <w:p w:rsidR="005523C7" w:rsidRDefault="00706871">
            <w:pPr>
              <w:spacing w:before="240" w:line="240" w:lineRule="auto"/>
              <w:ind w:left="1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10-34 tahun</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Pria-wanita</w:t>
            </w:r>
          </w:p>
        </w:tc>
      </w:tr>
      <w:tr w:rsidR="005523C7">
        <w:trPr>
          <w:trHeight w:val="115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20"/>
              <w:rPr>
                <w:rFonts w:ascii="Times New Roman" w:eastAsia="Times New Roman" w:hAnsi="Times New Roman" w:cs="Times New Roman"/>
                <w:sz w:val="24"/>
                <w:szCs w:val="24"/>
              </w:rPr>
            </w:pPr>
            <w:r>
              <w:rPr>
                <w:rFonts w:ascii="Times New Roman" w:eastAsia="Times New Roman" w:hAnsi="Times New Roman" w:cs="Times New Roman"/>
                <w:sz w:val="24"/>
                <w:szCs w:val="24"/>
              </w:rPr>
              <w:t>(Varndell et al., 2018)</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18-75 tahun</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Pria-wanita</w:t>
            </w:r>
          </w:p>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349</w:t>
            </w:r>
          </w:p>
        </w:tc>
      </w:tr>
      <w:tr w:rsidR="005523C7">
        <w:trPr>
          <w:trHeight w:val="148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20"/>
              <w:rPr>
                <w:rFonts w:ascii="Times New Roman" w:eastAsia="Times New Roman" w:hAnsi="Times New Roman" w:cs="Times New Roman"/>
                <w:sz w:val="24"/>
                <w:szCs w:val="24"/>
              </w:rPr>
            </w:pPr>
            <w:r>
              <w:rPr>
                <w:rFonts w:ascii="Times New Roman" w:eastAsia="Times New Roman" w:hAnsi="Times New Roman" w:cs="Times New Roman"/>
                <w:sz w:val="24"/>
                <w:szCs w:val="24"/>
              </w:rPr>
              <w:t>(Sonneborn &amp; Bui, 2019)</w:t>
            </w:r>
          </w:p>
          <w:p w:rsidR="005523C7" w:rsidRDefault="00706871">
            <w:pPr>
              <w:spacing w:before="240" w:line="240" w:lineRule="auto"/>
              <w:ind w:left="1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tahun ke atas</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Pria-wanita</w:t>
            </w:r>
          </w:p>
        </w:tc>
      </w:tr>
      <w:tr w:rsidR="005523C7">
        <w:trPr>
          <w:trHeight w:val="148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20"/>
              <w:rPr>
                <w:rFonts w:ascii="Times New Roman" w:eastAsia="Times New Roman" w:hAnsi="Times New Roman" w:cs="Times New Roman"/>
                <w:sz w:val="24"/>
                <w:szCs w:val="24"/>
              </w:rPr>
            </w:pPr>
            <w:r>
              <w:rPr>
                <w:rFonts w:ascii="Times New Roman" w:eastAsia="Times New Roman" w:hAnsi="Times New Roman" w:cs="Times New Roman"/>
                <w:sz w:val="24"/>
                <w:szCs w:val="24"/>
              </w:rPr>
              <w:t>(Hughes et al., 2020)</w:t>
            </w:r>
          </w:p>
          <w:p w:rsidR="005523C7" w:rsidRDefault="00706871">
            <w:pPr>
              <w:spacing w:before="240" w:line="240" w:lineRule="auto"/>
              <w:ind w:left="1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Usia pasien pada saat kedatangan</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Pria-wanita</w:t>
            </w:r>
          </w:p>
        </w:tc>
      </w:tr>
      <w:tr w:rsidR="005523C7">
        <w:trPr>
          <w:trHeight w:val="97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20"/>
              <w:rPr>
                <w:rFonts w:ascii="Times New Roman" w:eastAsia="Times New Roman" w:hAnsi="Times New Roman" w:cs="Times New Roman"/>
                <w:sz w:val="24"/>
                <w:szCs w:val="24"/>
              </w:rPr>
            </w:pPr>
            <w:r>
              <w:rPr>
                <w:rFonts w:ascii="Times New Roman" w:eastAsia="Times New Roman" w:hAnsi="Times New Roman" w:cs="Times New Roman"/>
                <w:sz w:val="24"/>
                <w:szCs w:val="24"/>
              </w:rPr>
              <w:t>(fauziah, 2015)</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18-45 tahun</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after="240" w:line="240"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Pria-wanita</w:t>
            </w:r>
          </w:p>
        </w:tc>
      </w:tr>
    </w:tbl>
    <w:p w:rsidR="005523C7" w:rsidRDefault="00706871">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23C7" w:rsidRDefault="00706871">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2 Kriteria Sampel</w:t>
      </w:r>
    </w:p>
    <w:tbl>
      <w:tblPr>
        <w:tblStyle w:val="a3"/>
        <w:tblW w:w="889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775"/>
        <w:gridCol w:w="2745"/>
        <w:gridCol w:w="3375"/>
      </w:tblGrid>
      <w:tr w:rsidR="005523C7">
        <w:trPr>
          <w:trHeight w:val="115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Author</w:t>
            </w:r>
          </w:p>
        </w:tc>
        <w:tc>
          <w:tcPr>
            <w:tcW w:w="27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Jumlah Sampel</w:t>
            </w:r>
          </w:p>
        </w:tc>
        <w:tc>
          <w:tcPr>
            <w:tcW w:w="3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Inklusi</w:t>
            </w:r>
          </w:p>
        </w:tc>
      </w:tr>
      <w:tr w:rsidR="005523C7">
        <w:trPr>
          <w:trHeight w:val="157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(Dewhirst et al., 2017)</w:t>
            </w:r>
          </w:p>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Skala nyeri (0-10)</w:t>
            </w:r>
          </w:p>
        </w:tc>
      </w:tr>
      <w:tr w:rsidR="005523C7">
        <w:trPr>
          <w:trHeight w:val="225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(Cabilan &amp; Boyde, 2017)</w:t>
            </w:r>
          </w:p>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980</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skor nyeri awal dan intensitas ringan (&lt;4)</w:t>
            </w:r>
          </w:p>
        </w:tc>
      </w:tr>
      <w:tr w:rsidR="005523C7">
        <w:trPr>
          <w:trHeight w:val="249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(Varndell et al., 2018)</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6641</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Skala nyeri (0-10)</w:t>
            </w:r>
          </w:p>
        </w:tc>
      </w:tr>
      <w:tr w:rsidR="005523C7">
        <w:trPr>
          <w:trHeight w:val="148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(Sonneborn &amp; Bui, 2019)</w:t>
            </w:r>
          </w:p>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Riview jurnal</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Skala nyeri sedang (0-3)</w:t>
            </w:r>
          </w:p>
        </w:tc>
      </w:tr>
      <w:tr w:rsidR="005523C7">
        <w:trPr>
          <w:trHeight w:val="148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(Hughes et al., 2020)</w:t>
            </w:r>
          </w:p>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485</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Skor skala nyeri 5</w:t>
            </w:r>
          </w:p>
        </w:tc>
      </w:tr>
      <w:tr w:rsidR="005523C7">
        <w:trPr>
          <w:trHeight w:val="307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(fauziah, 2015)</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Skala nyeri ringan (0-3) 7 pasien</w:t>
            </w:r>
          </w:p>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Skala nyeri sedang (4-6) 49 pasien</w:t>
            </w:r>
          </w:p>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Skala nyeri berat (7-10) 20 pasien</w:t>
            </w:r>
          </w:p>
        </w:tc>
      </w:tr>
    </w:tbl>
    <w:p w:rsidR="005523C7" w:rsidRDefault="00706871">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23C7" w:rsidRDefault="00706871">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3 </w:t>
      </w:r>
      <w:proofErr w:type="spellStart"/>
      <w:r>
        <w:rPr>
          <w:rFonts w:ascii="Times New Roman" w:eastAsia="Times New Roman" w:hAnsi="Times New Roman" w:cs="Times New Roman"/>
          <w:sz w:val="24"/>
          <w:szCs w:val="24"/>
        </w:rPr>
        <w:t>Pemberia</w:t>
      </w:r>
      <w:proofErr w:type="spellEnd"/>
      <w:r w:rsidR="0001767C">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rPr>
        <w:t xml:space="preserve"> intervensi</w:t>
      </w:r>
    </w:p>
    <w:tbl>
      <w:tblPr>
        <w:tblStyle w:val="a4"/>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5523C7">
        <w:trPr>
          <w:trHeight w:val="795"/>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Intervensi</w:t>
            </w:r>
          </w:p>
        </w:tc>
      </w:tr>
      <w:tr w:rsidR="005523C7">
        <w:trPr>
          <w:trHeight w:val="1575"/>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(Dewhirst et al., 2017)</w:t>
            </w:r>
          </w:p>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Intervensi  yang dilakukan  yaitu Mengevaluasi  arahan medis  untuk analgesia  yang diprakarsai  perawat di  Departemen Darurat</w:t>
            </w:r>
          </w:p>
        </w:tc>
      </w:tr>
      <w:tr w:rsidR="005523C7">
        <w:trPr>
          <w:trHeight w:val="2235"/>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(Cabilan &amp; Boyde, 2017)</w:t>
            </w:r>
          </w:p>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Intervensi  yang dilakukan  yaitu sebuah Lima  studi  eksperimental dimasukkan dalam ulasan ini:  satu  uji  coba Australasian Jurnal sistematisulasan dampak  obat  yang diprakarsai  perawat dalam  keadaan darurat departemen</w:t>
            </w:r>
          </w:p>
        </w:tc>
      </w:tr>
      <w:tr w:rsidR="005523C7">
        <w:trPr>
          <w:trHeight w:val="1515"/>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(Varndell et al., 2018)</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Intervensi  yang dilakukan  yaitu Kualitas  dan  dampak analgesia  yang diprakarsai  perawat di unit gawat darurat: Tinjauan sistematis</w:t>
            </w:r>
          </w:p>
        </w:tc>
      </w:tr>
      <w:tr w:rsidR="005523C7">
        <w:trPr>
          <w:trHeight w:val="4275"/>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(Sonneborn &amp; Bui, 2019)</w:t>
            </w:r>
          </w:p>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Intervensi  yang dilakukan  yaitu Opioid  menginduksi</w:t>
            </w:r>
          </w:p>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manajemen konstipasi  pada pasien  ortopedi  dan trauma: pengobatan Penggunaan  antagonis reseptor  mu-opioid akting  perifer  (PAMORA) dapat dipertimbangkan pada  mereka  yang penggunaan  kombinasi obat  pencahar  secara teratur  belum berhasil, dan  perawat  harus Jurnal Internasional Keperawatan Ortopedi Trauma dan  potensi manajemen  yang diprakarsai perawat</w:t>
            </w:r>
          </w:p>
        </w:tc>
      </w:tr>
      <w:tr w:rsidR="005523C7">
        <w:trPr>
          <w:trHeight w:val="1515"/>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(Hughes et al., 2020)</w:t>
            </w:r>
          </w:p>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Intervensi  yang dilakukan  yaitu Hubungan  antara waktu  dengan administrasi analgesik  dan  lama rawat inap:  Tinjauan retrospektif</w:t>
            </w:r>
          </w:p>
        </w:tc>
      </w:tr>
      <w:tr w:rsidR="005523C7">
        <w:trPr>
          <w:trHeight w:val="2835"/>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(fauziah, 2015)</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Dosis  pemberian  analgetik  pada pasien  rawatan intensif  dikelompokkan menjadi  dosis  terapi,  dosis subterapi  dan dosis  maksimal.  Pada  penelitian  ini diketahui pemberian dosis terapi sebanyak 156 (100%) kasus.</w:t>
            </w:r>
          </w:p>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5523C7" w:rsidRDefault="00706871">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23C7" w:rsidRDefault="00706871">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4 Hasil Jurnal Literatur</w:t>
      </w:r>
    </w:p>
    <w:tbl>
      <w:tblPr>
        <w:tblStyle w:val="a5"/>
        <w:tblW w:w="889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775"/>
        <w:gridCol w:w="6120"/>
      </w:tblGrid>
      <w:tr w:rsidR="005523C7">
        <w:trPr>
          <w:trHeight w:val="79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w:t>
            </w:r>
          </w:p>
        </w:tc>
        <w:tc>
          <w:tcPr>
            <w:tcW w:w="6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w:t>
            </w:r>
          </w:p>
        </w:tc>
      </w:tr>
      <w:tr w:rsidR="005523C7">
        <w:trPr>
          <w:trHeight w:val="453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(Dewhirst et al., 2017)</w:t>
            </w:r>
          </w:p>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Arahan medis untuk analgesik yang diprakarsai perawat di UGD dikaitkan dengan waktu yang berkurang secara signifikan terhadap dosis analgesik pertama, dan meningkatkan proporsi pasien yang menerima analgesik dalam 30 menit. Dapat menyimpulkan bahwa arahan medis untuk analgesia yang diprakarsai perawat secara efektif meningkatkan ketepatan waktu dan kualitas perawatan untuk pasien dengan nyeri akut.</w:t>
            </w:r>
          </w:p>
        </w:tc>
      </w:tr>
      <w:tr w:rsidR="005523C7">
        <w:trPr>
          <w:trHeight w:val="561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(Cabilan &amp; Boyde, 2017)</w:t>
            </w:r>
          </w:p>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Tinjauan sistematis memegang implikasi klinis dan penelitian. Temuan dari ulasan ini mendukung praktik obat yang diprakarsai perawat di UGD, terutama analgesia yang diprakarsai perawat. Analgesia yang diprakarsai perawat meningkatkan aksesibilitas analgesia, dan memfasilitasi pemberian penghilang rasa sakit yang tepat waktu dan efektif.</w:t>
            </w:r>
          </w:p>
        </w:tc>
      </w:tr>
      <w:tr w:rsidR="005523C7">
        <w:trPr>
          <w:trHeight w:val="441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(Varndell et al., 2018)</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Tinjau Perawat darurat, sebagai dokter garis depan, sering dalam posisi untuk mengidentifikasi dan mengoptimalkan manajemen nyeri akut. Tinjauan sistematis ini telah menyoroti keefektivitas dan keamanan untuk meningkatkan akses tepat waktu ke analgesia dan berpotensi untuk meningkatkan kepuasan pasien dengan manajemen nyeri.</w:t>
            </w:r>
          </w:p>
        </w:tc>
      </w:tr>
      <w:tr w:rsidR="005523C7">
        <w:trPr>
          <w:trHeight w:val="295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(Sonneborn &amp; Bui, 2019)</w:t>
            </w:r>
          </w:p>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antagonis reseptor  mu-opioid akting  perifer  (PAMORA) dapat  dipertimbangkan pada mereka  yang penggunaan  kombinasi obat  pencahar  secara teratur  belum  berhasil, dan  perawat  harus mengambil  peran  yang lebih luas dalam penilaian gejala  dan  respons terhadap pengobatan.</w:t>
            </w:r>
          </w:p>
        </w:tc>
      </w:tr>
      <w:tr w:rsidR="005523C7">
        <w:trPr>
          <w:trHeight w:val="633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(Hughes et al., 2020)</w:t>
            </w:r>
          </w:p>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Penerimaan analgesia efektif cepat dan efektif memiliki dampak yang lebih besar untuk nyeri yang di amanatkan dan analgesia yang diprakarsai oleh perawat</w:t>
            </w:r>
          </w:p>
        </w:tc>
      </w:tr>
      <w:tr w:rsidR="005523C7">
        <w:trPr>
          <w:trHeight w:val="273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(fauziah, 2015)</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rsidR="005523C7" w:rsidRDefault="00706871">
            <w:pPr>
              <w:spacing w:before="240" w:line="240"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ini  Penggunaan terapi analgetik secara  kombinasi  lebih  efektif  dan  juga untuk  mengurangi  dosis  dari masing-masing obat tersebut</w:t>
            </w:r>
          </w:p>
        </w:tc>
      </w:tr>
    </w:tbl>
    <w:p w:rsidR="005523C7" w:rsidRDefault="005523C7">
      <w:pPr>
        <w:spacing w:before="240" w:after="240" w:line="360" w:lineRule="auto"/>
        <w:jc w:val="both"/>
        <w:rPr>
          <w:rFonts w:ascii="Times New Roman" w:eastAsia="Times New Roman" w:hAnsi="Times New Roman" w:cs="Times New Roman"/>
          <w:sz w:val="24"/>
          <w:szCs w:val="24"/>
        </w:rPr>
        <w:sectPr w:rsidR="005523C7">
          <w:type w:val="continuous"/>
          <w:pgSz w:w="11909" w:h="16834"/>
          <w:pgMar w:top="1440" w:right="1440" w:bottom="1440" w:left="1440" w:header="720" w:footer="720" w:gutter="0"/>
          <w:cols w:space="720"/>
        </w:sectPr>
      </w:pPr>
    </w:p>
    <w:p w:rsidR="005523C7" w:rsidRDefault="005523C7">
      <w:pPr>
        <w:rPr>
          <w:rFonts w:ascii="Times New Roman" w:eastAsia="Times New Roman" w:hAnsi="Times New Roman" w:cs="Times New Roman"/>
          <w:sz w:val="24"/>
          <w:szCs w:val="24"/>
        </w:rPr>
      </w:pPr>
      <w:bookmarkStart w:id="0" w:name="_GoBack"/>
      <w:bookmarkEnd w:id="0"/>
    </w:p>
    <w:sectPr w:rsidR="005523C7">
      <w:type w:val="continuous"/>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57A61"/>
    <w:multiLevelType w:val="multilevel"/>
    <w:tmpl w:val="69229D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C7"/>
    <w:rsid w:val="0001767C"/>
    <w:rsid w:val="000E2C89"/>
    <w:rsid w:val="005523C7"/>
    <w:rsid w:val="006F1E80"/>
    <w:rsid w:val="00706871"/>
    <w:rsid w:val="008330F6"/>
    <w:rsid w:val="00DB4F82"/>
    <w:rsid w:val="00DD664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61A5"/>
  <w15:docId w15:val="{E5DE9BE7-E5B4-46B0-B517-76B97E19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d-ID" w:eastAsia="id-ID"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330F6"/>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2020-08-12T13:28:00Z</dcterms:created>
  <dcterms:modified xsi:type="dcterms:W3CDTF">2020-08-12T13:29:00Z</dcterms:modified>
</cp:coreProperties>
</file>